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6113" w14:textId="379F57D6" w:rsidR="005D5F3D" w:rsidRDefault="007F43E3" w:rsidP="005D5F3D">
      <w:pPr>
        <w:spacing w:line="380" w:lineRule="exact"/>
        <w:jc w:val="center"/>
        <w:rPr>
          <w:b/>
        </w:rPr>
      </w:pPr>
      <w:r>
        <w:rPr>
          <w:b/>
        </w:rPr>
        <w:t>CHẤP THUẬN PHƯƠNG ÁN ĐẢM BẢO AN TOÀN GIAO THÔNG</w:t>
      </w:r>
    </w:p>
    <w:p w14:paraId="3E0EF80C" w14:textId="34E0FC28" w:rsidR="007E3CD1" w:rsidRPr="00C252DC" w:rsidRDefault="007E3CD1" w:rsidP="008F3E80">
      <w:pPr>
        <w:spacing w:line="380" w:lineRule="exact"/>
        <w:jc w:val="both"/>
        <w:rPr>
          <w:b/>
        </w:rPr>
      </w:pPr>
      <w:r w:rsidRPr="00C252DC">
        <w:rPr>
          <w:b/>
        </w:rPr>
        <w:t>1. Trình tự thực hiện</w:t>
      </w:r>
    </w:p>
    <w:p w14:paraId="5F4EC29E" w14:textId="77777777" w:rsidR="007E3CD1" w:rsidRDefault="007E3CD1" w:rsidP="008F3E80">
      <w:pPr>
        <w:spacing w:line="380" w:lineRule="exact"/>
        <w:jc w:val="both"/>
      </w:pPr>
      <w:r>
        <w:t>a) Nộp hồ sơ TTHC:</w:t>
      </w:r>
    </w:p>
    <w:p w14:paraId="4E3E41A8" w14:textId="77777777" w:rsidR="00AF0588" w:rsidRDefault="00AF0588" w:rsidP="00AF0588">
      <w:pPr>
        <w:spacing w:line="380" w:lineRule="exact"/>
        <w:jc w:val="both"/>
      </w:pPr>
      <w:r>
        <w:t>Trước khi thi công công trình (công trình xây dựng: Công trình phục vụ nhiệm vụ quốc phòng, an ninh; Kè, đập thủy lợi, cầu, bến phà; Phong điện, nhiệt điện, thủy điện; Công trình vượt qua luồng trên không hoặc dưới đáy luồng; Công trình khác ảnh hưởng đến an toàn giao thông trên đường thủy nội địa.), tổ chức hoạt động (hoạt động thi công công trình (bao gồm hoạt động nạo vét vùng nước cảng, bến thủy nội địa, khu neo đậu); khai thác tài nguyên, khoáng sản; Khu vực nuôi trồng thủy sản, hải sản (bè cá, lồng cá, đăng, đáy cá, bãi nuôi trồng thủy sản, hải sản); tổ chức hoạt động vui chơi, giải trí, diễn tập, thể thao, lễ hội; họp chợ, làng nghề, thực hành đào tạo nghề; Các hoạt động khác ảnh hưởng đến an toàn giao thông trên đường thủy nội địa), chủ đầu tư hoặc tổ chức, cá nhân gửi hồ sơ đến cơ quan sau để đề nghị chấp thuận:</w:t>
      </w:r>
    </w:p>
    <w:p w14:paraId="45699BEE" w14:textId="77777777" w:rsidR="00AF0588" w:rsidRDefault="00AF0588" w:rsidP="00AF0588">
      <w:pPr>
        <w:spacing w:line="380" w:lineRule="exact"/>
        <w:jc w:val="both"/>
      </w:pPr>
      <w:r>
        <w:t>- Cục Hàng hải và Đường thủy Việt Nam chấp thuận phương án bảo đảm an toàn giao thông đối với công trình, hoạt động bảo đảm quốc phòng, an ninh trên đường thủy nội địa quốc gia, đường thủy nội địa chuyên dùng nối với đường thủy nội địa quốc gia.</w:t>
      </w:r>
    </w:p>
    <w:p w14:paraId="7F8FC163" w14:textId="77777777" w:rsidR="00AF0588" w:rsidRDefault="00AF0588" w:rsidP="00AF0588">
      <w:pPr>
        <w:spacing w:line="380" w:lineRule="exact"/>
        <w:jc w:val="both"/>
      </w:pPr>
      <w:r>
        <w:t>- Chi cục Hàng hải và Đường thủy khu vực chấp thuận phương án bảo đảm an toàn giao thông đối với công trình, hoạt động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 trừ trường hợp quy định thuộc thẩm quyền của Cục Hàng hải và Đường thủy Việt Nam và Cảng vụ.</w:t>
      </w:r>
    </w:p>
    <w:p w14:paraId="48FB018E" w14:textId="77777777" w:rsidR="00AF0588" w:rsidRDefault="00AF0588" w:rsidP="00AF0588">
      <w:pPr>
        <w:spacing w:line="380" w:lineRule="exact"/>
        <w:jc w:val="both"/>
      </w:pPr>
      <w:r>
        <w:t>- Sở Xây dựng chấp thuận phương án bảo đảm an toàn giao thông đối với công trình, hoạt động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trường hợp quy định tại điểm d khoản này. Căn cứ tình hình thực tế, Sở Xây dựng trình Ủy ban nhân dân cấp tỉnh ủy quyền, phân cấp cho Ủy ban nhân dân cấp xã chấp thuận phương án bảo đảm an toàn giao thông;</w:t>
      </w:r>
    </w:p>
    <w:p w14:paraId="29012443" w14:textId="77777777" w:rsidR="00AF0588" w:rsidRDefault="00AF0588" w:rsidP="00AF0588">
      <w:pPr>
        <w:spacing w:line="380" w:lineRule="exact"/>
        <w:jc w:val="both"/>
      </w:pPr>
      <w:r>
        <w:lastRenderedPageBreak/>
        <w:t>- Cảng vụ chấp thuận phương án bảo đảm an toàn giao thông đối với hoạt động sửa chữa, cải tạo nâng cấp và hoạt động khác trong vùng nước cảng, bến thủy nội địa, khu neo đậu thuộc phạm vi quản lý.</w:t>
      </w:r>
    </w:p>
    <w:p w14:paraId="562AE9B3" w14:textId="614B8383" w:rsidR="00D22439" w:rsidRDefault="00D22439" w:rsidP="00AF0588">
      <w:pPr>
        <w:spacing w:line="380" w:lineRule="exact"/>
        <w:jc w:val="both"/>
      </w:pPr>
      <w:r>
        <w:t xml:space="preserve">b) Giải quyết </w:t>
      </w:r>
      <w:r w:rsidR="00F71B64">
        <w:t>TTHC:</w:t>
      </w:r>
    </w:p>
    <w:p w14:paraId="088557DC" w14:textId="77777777" w:rsidR="00AF0588" w:rsidRDefault="00AF0588" w:rsidP="005D6469">
      <w:pPr>
        <w:spacing w:line="380" w:lineRule="exact"/>
        <w:jc w:val="both"/>
      </w:pPr>
      <w:r w:rsidRPr="00AF0588">
        <w:t>Trong thời hạn 05 ngày làm việc, kể từ ngày nhận được đủ hồ sơ theo quy định, cơ quan có thẩm có văn bản chấp thuận phương án bảo đảm an toàn giao thông gửi cho chủ đầu tư hoặc tổ chức, cá nhân.</w:t>
      </w:r>
    </w:p>
    <w:p w14:paraId="69989BA0" w14:textId="6A52E0C2" w:rsidR="003B558B" w:rsidRPr="00C252DC" w:rsidRDefault="003B558B" w:rsidP="005D6469">
      <w:pPr>
        <w:spacing w:line="380" w:lineRule="exact"/>
        <w:jc w:val="both"/>
        <w:rPr>
          <w:b/>
        </w:rPr>
      </w:pPr>
      <w:r w:rsidRPr="00C252DC">
        <w:rPr>
          <w:b/>
        </w:rPr>
        <w:t>2. Cách thức thực hiện</w:t>
      </w:r>
    </w:p>
    <w:p w14:paraId="05514EE4" w14:textId="7CA89D05" w:rsidR="00823C5E" w:rsidRPr="00823C5E" w:rsidRDefault="003B558B" w:rsidP="00823C5E">
      <w:pPr>
        <w:spacing w:line="380" w:lineRule="exact"/>
        <w:jc w:val="both"/>
        <w:rPr>
          <w:lang w:val="hr-HR"/>
        </w:rPr>
      </w:pPr>
      <w:r>
        <w:t xml:space="preserve">- </w:t>
      </w:r>
      <w:r w:rsidR="00823C5E" w:rsidRPr="00823C5E">
        <w:rPr>
          <w:lang w:val="hr-HR"/>
        </w:rPr>
        <w:t>Nộp hồ sơ trực tiếp hoặc qua hệ thống bưu chính hoặc qua hệ thống dịch vụ công trực tuyến.</w:t>
      </w:r>
    </w:p>
    <w:p w14:paraId="2A9D6771" w14:textId="1B4C405F" w:rsidR="003B558B" w:rsidRPr="005D5F3D" w:rsidRDefault="003B558B" w:rsidP="008F3E80">
      <w:pPr>
        <w:spacing w:line="380" w:lineRule="exact"/>
        <w:jc w:val="both"/>
        <w:rPr>
          <w:b/>
          <w:lang w:val="hr-HR"/>
        </w:rPr>
      </w:pPr>
      <w:r w:rsidRPr="005D5F3D">
        <w:rPr>
          <w:b/>
          <w:lang w:val="hr-HR"/>
        </w:rPr>
        <w:t>3. Thành phần, số lượng hồ sơ:</w:t>
      </w:r>
    </w:p>
    <w:p w14:paraId="73962C05" w14:textId="77777777" w:rsidR="003B558B" w:rsidRDefault="003B558B" w:rsidP="008F3E80">
      <w:pPr>
        <w:spacing w:line="380" w:lineRule="exact"/>
        <w:jc w:val="both"/>
      </w:pPr>
      <w:r>
        <w:t>a) Thành phần hồ sơ:</w:t>
      </w:r>
    </w:p>
    <w:p w14:paraId="4B9FF8A2" w14:textId="38CF40B1" w:rsidR="00AF0588" w:rsidRDefault="00AF0588" w:rsidP="008F3E80">
      <w:pPr>
        <w:spacing w:line="380" w:lineRule="exact"/>
        <w:jc w:val="both"/>
      </w:pPr>
      <w:r w:rsidRPr="00AF0588">
        <w:t>- Đơn đề nghị chấp thuận phương án bảo đảm an toàn giao thông theo mẫu;</w:t>
      </w:r>
      <w:r w:rsidR="00215AE6">
        <w:t xml:space="preserve"> 01 bản chính</w:t>
      </w:r>
    </w:p>
    <w:p w14:paraId="1CD72689" w14:textId="3BF97B25" w:rsidR="00215AE6" w:rsidRPr="00215AE6" w:rsidRDefault="00AF0588" w:rsidP="00215AE6">
      <w:pPr>
        <w:spacing w:line="380" w:lineRule="exact"/>
        <w:jc w:val="both"/>
      </w:pPr>
      <w:r w:rsidRPr="00AF0588">
        <w:t>- Phương án thi công, thời gian, tiến độ thi công công trình, tổ chức hoạt động;</w:t>
      </w:r>
      <w:r w:rsidR="00215AE6" w:rsidRPr="00215AE6">
        <w:t xml:space="preserve"> </w:t>
      </w:r>
      <w:r w:rsidR="00215AE6" w:rsidRPr="00215AE6">
        <w:t>01 bản chính</w:t>
      </w:r>
    </w:p>
    <w:p w14:paraId="0EB54345" w14:textId="3A463D59" w:rsidR="00215AE6" w:rsidRPr="00215AE6" w:rsidRDefault="00AF0588" w:rsidP="00215AE6">
      <w:pPr>
        <w:spacing w:line="380" w:lineRule="exact"/>
        <w:jc w:val="both"/>
      </w:pPr>
      <w:r w:rsidRPr="00AF0588">
        <w:t>- Phương án bảo đảm an toàn giao thông;</w:t>
      </w:r>
      <w:r w:rsidR="00215AE6" w:rsidRPr="00215AE6">
        <w:t xml:space="preserve"> </w:t>
      </w:r>
      <w:r w:rsidR="00215AE6" w:rsidRPr="00215AE6">
        <w:t>01 bản chính</w:t>
      </w:r>
    </w:p>
    <w:p w14:paraId="31A2E320" w14:textId="77777777" w:rsidR="00215AE6" w:rsidRPr="00215AE6" w:rsidRDefault="00AF0588" w:rsidP="00215AE6">
      <w:pPr>
        <w:spacing w:line="380" w:lineRule="exact"/>
        <w:jc w:val="both"/>
      </w:pPr>
      <w:r w:rsidRPr="00AF0588">
        <w:t>- Bản sao bản vẽ bố trí mặt bằng tổng thể của công trình, phạm vi khu vực tổ chức thi công công trình, tổ chức hoạt động.</w:t>
      </w:r>
      <w:r w:rsidR="00215AE6">
        <w:t xml:space="preserve"> </w:t>
      </w:r>
      <w:r w:rsidR="00215AE6" w:rsidRPr="00215AE6">
        <w:t>01 bản chính</w:t>
      </w:r>
    </w:p>
    <w:p w14:paraId="1F530812" w14:textId="73BA0BD5" w:rsidR="00DC08F8" w:rsidRDefault="00DC08F8" w:rsidP="008F3E80">
      <w:pPr>
        <w:spacing w:line="380" w:lineRule="exact"/>
        <w:jc w:val="both"/>
      </w:pPr>
      <w:r>
        <w:t>b) Số lượng hồ sơ: 01 bộ</w:t>
      </w:r>
    </w:p>
    <w:p w14:paraId="3B8D3089" w14:textId="77777777" w:rsidR="00F33195" w:rsidRDefault="00DC08F8" w:rsidP="008F3E80">
      <w:pPr>
        <w:spacing w:line="380" w:lineRule="exact"/>
        <w:jc w:val="both"/>
        <w:rPr>
          <w:b/>
        </w:rPr>
      </w:pPr>
      <w:r w:rsidRPr="00C252DC">
        <w:rPr>
          <w:b/>
        </w:rPr>
        <w:t>4. Thời han giải quyết</w:t>
      </w:r>
      <w:r w:rsidR="00BB62D1">
        <w:rPr>
          <w:b/>
        </w:rPr>
        <w:t xml:space="preserve">: </w:t>
      </w:r>
    </w:p>
    <w:p w14:paraId="4E1E8740" w14:textId="77777777" w:rsidR="00C342B1" w:rsidRDefault="00BF4997" w:rsidP="008F3E80">
      <w:pPr>
        <w:spacing w:line="380" w:lineRule="exact"/>
        <w:jc w:val="both"/>
        <w:rPr>
          <w:bCs/>
        </w:rPr>
      </w:pPr>
      <w:r w:rsidRPr="00BF4997">
        <w:rPr>
          <w:bCs/>
        </w:rPr>
        <w:t>Trong thời hạn 05 ngày làm việc, kể từ ngày nhận được đủ hồ sơ theo quy định</w:t>
      </w:r>
    </w:p>
    <w:p w14:paraId="1F01B520" w14:textId="2FF110CE" w:rsidR="002F2EF0" w:rsidRDefault="002F2EF0" w:rsidP="008F3E80">
      <w:pPr>
        <w:spacing w:line="380" w:lineRule="exact"/>
        <w:jc w:val="both"/>
      </w:pPr>
      <w:r w:rsidRPr="00C252DC">
        <w:rPr>
          <w:b/>
        </w:rPr>
        <w:t>5. Đối tượng thực hiện thủ tục hành chính</w:t>
      </w:r>
      <w:r w:rsidR="0021371D">
        <w:rPr>
          <w:b/>
        </w:rPr>
        <w:t xml:space="preserve">: </w:t>
      </w:r>
      <w:r>
        <w:t>Tổ chức, cá nhân</w:t>
      </w:r>
      <w:r w:rsidR="00F33195">
        <w:t>;</w:t>
      </w:r>
    </w:p>
    <w:p w14:paraId="1F8E3DDB" w14:textId="77777777" w:rsidR="002F2EF0" w:rsidRPr="00C252DC" w:rsidRDefault="002F2EF0" w:rsidP="008F3E80">
      <w:pPr>
        <w:spacing w:line="380" w:lineRule="exact"/>
        <w:jc w:val="both"/>
        <w:rPr>
          <w:b/>
        </w:rPr>
      </w:pPr>
      <w:r w:rsidRPr="00C252DC">
        <w:rPr>
          <w:b/>
        </w:rPr>
        <w:t>6. Cơ quan thực hiện TTHC:</w:t>
      </w:r>
    </w:p>
    <w:p w14:paraId="0A6B8BB4" w14:textId="27F4F10F" w:rsidR="00FD6EBE" w:rsidRDefault="00FD6EBE" w:rsidP="00FD6EBE">
      <w:pPr>
        <w:spacing w:line="380" w:lineRule="exact"/>
        <w:jc w:val="both"/>
      </w:pPr>
      <w:r>
        <w:t xml:space="preserve">a) Cơ quan có thẩm quyền quyết định: </w:t>
      </w:r>
    </w:p>
    <w:p w14:paraId="234BCB0D" w14:textId="77777777" w:rsidR="00FD6EBE" w:rsidRDefault="00FD6EBE" w:rsidP="00FD6EBE">
      <w:pPr>
        <w:spacing w:line="380" w:lineRule="exact"/>
        <w:jc w:val="both"/>
      </w:pPr>
      <w:r>
        <w:t>b) Cơ quan hoặc người có thẩm quyền được uỷ quyền hoặc phân cấp thực hiện: Không có;</w:t>
      </w:r>
    </w:p>
    <w:p w14:paraId="6B90CA24" w14:textId="2CA7C8B5" w:rsidR="00FE5730" w:rsidRDefault="00FD6EBE" w:rsidP="00FD6EBE">
      <w:pPr>
        <w:spacing w:line="380" w:lineRule="exact"/>
        <w:jc w:val="both"/>
      </w:pPr>
      <w:r>
        <w:t xml:space="preserve">c) Cơ quan trực tiếp thực hiện TTHC: </w:t>
      </w:r>
      <w:r w:rsidR="00FE5730" w:rsidRPr="00FE5730">
        <w:t xml:space="preserve">Cục Hàng hải và Đường thủy Việt Nam, Sở Xây dựng, Cảng vụ hàng hải, Ủy ban nhân dân cấp xã, Cảng vụ Đường thủy nội địa, </w:t>
      </w:r>
      <w:r w:rsidR="00FE5730" w:rsidRPr="00FE5730">
        <w:lastRenderedPageBreak/>
        <w:t>Chi cục Hàng hải và Đường thuỷ phía Bắc, Chi cục Hàng hải và Đường thuỷ phía Nam</w:t>
      </w:r>
      <w:r w:rsidR="00FE5730">
        <w:t>.</w:t>
      </w:r>
    </w:p>
    <w:p w14:paraId="2B2ACD89" w14:textId="083EC824" w:rsidR="00FD6EBE" w:rsidRDefault="00FD6EBE" w:rsidP="00FD6EBE">
      <w:pPr>
        <w:spacing w:line="380" w:lineRule="exact"/>
        <w:jc w:val="both"/>
      </w:pPr>
      <w:r>
        <w:t>d) Cơ quan phối hợp: Không có.</w:t>
      </w:r>
    </w:p>
    <w:p w14:paraId="5EC19098" w14:textId="77777777" w:rsidR="00F045F8" w:rsidRDefault="00973261" w:rsidP="00DB4137">
      <w:pPr>
        <w:spacing w:line="380" w:lineRule="exact"/>
        <w:jc w:val="both"/>
        <w:rPr>
          <w:bCs/>
        </w:rPr>
      </w:pPr>
      <w:r w:rsidRPr="00C252DC">
        <w:rPr>
          <w:b/>
        </w:rPr>
        <w:t xml:space="preserve">7. Kết quả thực hiện thủ tục hành chính: </w:t>
      </w:r>
      <w:r w:rsidR="00DD7E85" w:rsidRPr="00DD7E85">
        <w:rPr>
          <w:bCs/>
        </w:rPr>
        <w:t>Văn bản chấp thuận phương án bảo đảm an toàn giao thông.</w:t>
      </w:r>
    </w:p>
    <w:p w14:paraId="3997DE71" w14:textId="12D8550C" w:rsidR="00DB4137" w:rsidRPr="00DB4137" w:rsidRDefault="00F05EA4" w:rsidP="00DB4137">
      <w:pPr>
        <w:spacing w:line="380" w:lineRule="exact"/>
        <w:jc w:val="both"/>
        <w:rPr>
          <w:b/>
        </w:rPr>
      </w:pPr>
      <w:r w:rsidRPr="00C252DC">
        <w:rPr>
          <w:b/>
        </w:rPr>
        <w:t>8. Phí, lệ phí:</w:t>
      </w:r>
      <w:r w:rsidR="00105496" w:rsidRPr="00105496">
        <w:rPr>
          <w:b/>
        </w:rPr>
        <w:t xml:space="preserve"> </w:t>
      </w:r>
      <w:r w:rsidR="00105496" w:rsidRPr="00105496">
        <w:rPr>
          <w:b/>
        </w:rPr>
        <w:t>Không có</w:t>
      </w:r>
      <w:r w:rsidR="000416DF">
        <w:rPr>
          <w:b/>
        </w:rPr>
        <w:t>.</w:t>
      </w:r>
    </w:p>
    <w:p w14:paraId="3ECCA919" w14:textId="10435F91" w:rsidR="00F05EA4" w:rsidRPr="00C252DC" w:rsidRDefault="00F05EA4" w:rsidP="008F3E80">
      <w:pPr>
        <w:spacing w:line="380" w:lineRule="exact"/>
        <w:jc w:val="both"/>
        <w:rPr>
          <w:b/>
        </w:rPr>
      </w:pPr>
      <w:r w:rsidRPr="00C252DC">
        <w:rPr>
          <w:b/>
        </w:rPr>
        <w:t>9. Tên mẫu đơn mẫu tờ khai hành chính : Không có</w:t>
      </w:r>
      <w:r w:rsidR="000416DF">
        <w:rPr>
          <w:b/>
        </w:rPr>
        <w:t>.</w:t>
      </w:r>
    </w:p>
    <w:p w14:paraId="4C7FFE12" w14:textId="03B5E59E" w:rsidR="00F05EA4" w:rsidRPr="00C252DC" w:rsidRDefault="00F05EA4" w:rsidP="008F3E80">
      <w:pPr>
        <w:spacing w:line="380" w:lineRule="exact"/>
        <w:jc w:val="both"/>
        <w:rPr>
          <w:b/>
        </w:rPr>
      </w:pPr>
      <w:r w:rsidRPr="00C252DC">
        <w:rPr>
          <w:b/>
        </w:rPr>
        <w:t>10. Yêu cầu điều kiện thực hiện thủ tục hành chính: Không có</w:t>
      </w:r>
      <w:r w:rsidR="000416DF">
        <w:rPr>
          <w:b/>
        </w:rPr>
        <w:t>.</w:t>
      </w:r>
    </w:p>
    <w:p w14:paraId="6542D825" w14:textId="77777777" w:rsidR="00F05EA4" w:rsidRPr="00C252DC" w:rsidRDefault="00F05EA4" w:rsidP="008F3E80">
      <w:pPr>
        <w:spacing w:line="380" w:lineRule="exact"/>
        <w:jc w:val="both"/>
        <w:rPr>
          <w:b/>
        </w:rPr>
      </w:pPr>
      <w:r w:rsidRPr="00C252DC">
        <w:rPr>
          <w:b/>
        </w:rPr>
        <w:t xml:space="preserve">11. Căn cứ pháp lý của thủ tục hành chính </w:t>
      </w:r>
    </w:p>
    <w:p w14:paraId="4187DE4D" w14:textId="1F533E92" w:rsidR="003B558B" w:rsidRDefault="00E10247" w:rsidP="008F3E80">
      <w:pPr>
        <w:spacing w:line="380" w:lineRule="exact"/>
        <w:jc w:val="both"/>
      </w:pPr>
      <w:r>
        <w:t xml:space="preserve">- </w:t>
      </w:r>
      <w:r w:rsidR="00A14DF7" w:rsidRPr="00A14DF7">
        <w:t>Nghị định số 08/2021/NĐ-CP của Chính phủ</w:t>
      </w:r>
      <w:r w:rsidR="00A14DF7">
        <w:t xml:space="preserve"> ngày 28/01/2024 </w:t>
      </w:r>
      <w:r w:rsidR="00A14DF7" w:rsidRPr="00A14DF7">
        <w:t>Quy định về quản lý hoạt động đường thủy nội địa</w:t>
      </w:r>
      <w:r w:rsidR="00A14DF7">
        <w:t>.</w:t>
      </w:r>
    </w:p>
    <w:p w14:paraId="0AA480A2" w14:textId="776FF41E" w:rsidR="00E10247" w:rsidRPr="00E10247" w:rsidRDefault="00E10247" w:rsidP="00E10247">
      <w:pPr>
        <w:spacing w:line="380" w:lineRule="exact"/>
        <w:jc w:val="both"/>
      </w:pPr>
      <w:r w:rsidRPr="00E10247">
        <w:t>-</w:t>
      </w:r>
      <w:r w:rsidRPr="00E10247">
        <w:rPr>
          <w:rFonts w:ascii="Merriweather" w:eastAsia="Times New Roman" w:hAnsi="Merriweather"/>
          <w:i/>
          <w:iCs/>
          <w:color w:val="182940"/>
          <w:sz w:val="27"/>
          <w:szCs w:val="27"/>
          <w:lang w:eastAsia="zh-CN"/>
        </w:rPr>
        <w:t xml:space="preserve"> </w:t>
      </w:r>
      <w:r w:rsidRPr="00E10247">
        <w:t xml:space="preserve">Nghị định số 140/2025/NĐ-CP </w:t>
      </w:r>
      <w:r>
        <w:t xml:space="preserve">ngày 12/6/2025 </w:t>
      </w:r>
      <w:r w:rsidRPr="00E10247">
        <w:t xml:space="preserve">của Chính phủ </w:t>
      </w:r>
      <w:r>
        <w:t>q</w:t>
      </w:r>
      <w:r w:rsidRPr="00E10247">
        <w:t>uy định về phân định thẩm quyền của chính quyền địa phương 02 cấp trong lĩnh vực quản lý nhà nước của Bộ Xây dựng</w:t>
      </w:r>
      <w:r>
        <w:t>.</w:t>
      </w:r>
    </w:p>
    <w:p w14:paraId="6B50A304" w14:textId="63E78796" w:rsidR="00E10247" w:rsidRDefault="00E10247" w:rsidP="008F3E80">
      <w:pPr>
        <w:spacing w:line="380" w:lineRule="exact"/>
        <w:jc w:val="both"/>
      </w:pPr>
    </w:p>
    <w:sectPr w:rsidR="00E10247" w:rsidSect="008F3E80">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0"/>
    <w:rsid w:val="000416DF"/>
    <w:rsid w:val="000A5663"/>
    <w:rsid w:val="00105496"/>
    <w:rsid w:val="00147F6E"/>
    <w:rsid w:val="001F4AC1"/>
    <w:rsid w:val="0021371D"/>
    <w:rsid w:val="00215AE6"/>
    <w:rsid w:val="0026612B"/>
    <w:rsid w:val="002B37DB"/>
    <w:rsid w:val="002F2EF0"/>
    <w:rsid w:val="00306C4F"/>
    <w:rsid w:val="003817B0"/>
    <w:rsid w:val="003B219A"/>
    <w:rsid w:val="003B558B"/>
    <w:rsid w:val="00531830"/>
    <w:rsid w:val="00592B30"/>
    <w:rsid w:val="005A3568"/>
    <w:rsid w:val="005D5F3D"/>
    <w:rsid w:val="005D6469"/>
    <w:rsid w:val="00621A18"/>
    <w:rsid w:val="00660C99"/>
    <w:rsid w:val="00690C3E"/>
    <w:rsid w:val="006B0BFE"/>
    <w:rsid w:val="00723F09"/>
    <w:rsid w:val="00737E0B"/>
    <w:rsid w:val="007A3699"/>
    <w:rsid w:val="007B12F8"/>
    <w:rsid w:val="007D0B96"/>
    <w:rsid w:val="007D7413"/>
    <w:rsid w:val="007E3CD1"/>
    <w:rsid w:val="007F3CC0"/>
    <w:rsid w:val="007F43E3"/>
    <w:rsid w:val="008156D2"/>
    <w:rsid w:val="00823C5E"/>
    <w:rsid w:val="0084648F"/>
    <w:rsid w:val="00851AFE"/>
    <w:rsid w:val="00880462"/>
    <w:rsid w:val="008F3E80"/>
    <w:rsid w:val="00973261"/>
    <w:rsid w:val="009840DE"/>
    <w:rsid w:val="00A07E7F"/>
    <w:rsid w:val="00A14DF7"/>
    <w:rsid w:val="00A34CAD"/>
    <w:rsid w:val="00AF0588"/>
    <w:rsid w:val="00B072BF"/>
    <w:rsid w:val="00B10416"/>
    <w:rsid w:val="00B30C26"/>
    <w:rsid w:val="00B40259"/>
    <w:rsid w:val="00BB62D1"/>
    <w:rsid w:val="00BF4997"/>
    <w:rsid w:val="00C252DC"/>
    <w:rsid w:val="00C342B1"/>
    <w:rsid w:val="00C83A01"/>
    <w:rsid w:val="00C91B49"/>
    <w:rsid w:val="00CF72F2"/>
    <w:rsid w:val="00D0646F"/>
    <w:rsid w:val="00D22439"/>
    <w:rsid w:val="00DB4137"/>
    <w:rsid w:val="00DC08F8"/>
    <w:rsid w:val="00DD7E85"/>
    <w:rsid w:val="00E10247"/>
    <w:rsid w:val="00E51DC9"/>
    <w:rsid w:val="00E96EF4"/>
    <w:rsid w:val="00EA46B1"/>
    <w:rsid w:val="00F045F8"/>
    <w:rsid w:val="00F05EA4"/>
    <w:rsid w:val="00F33195"/>
    <w:rsid w:val="00F71B64"/>
    <w:rsid w:val="00FD6EBE"/>
    <w:rsid w:val="00FD7A7E"/>
    <w:rsid w:val="00FE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6172"/>
  <w15:docId w15:val="{CBF3EB0B-AEC0-43A4-9935-14ECEB8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102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102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13843">
      <w:bodyDiv w:val="1"/>
      <w:marLeft w:val="0"/>
      <w:marRight w:val="0"/>
      <w:marTop w:val="0"/>
      <w:marBottom w:val="0"/>
      <w:divBdr>
        <w:top w:val="none" w:sz="0" w:space="0" w:color="auto"/>
        <w:left w:val="none" w:sz="0" w:space="0" w:color="auto"/>
        <w:bottom w:val="none" w:sz="0" w:space="0" w:color="auto"/>
        <w:right w:val="none" w:sz="0" w:space="0" w:color="auto"/>
      </w:divBdr>
    </w:div>
    <w:div w:id="1396928907">
      <w:bodyDiv w:val="1"/>
      <w:marLeft w:val="0"/>
      <w:marRight w:val="0"/>
      <w:marTop w:val="0"/>
      <w:marBottom w:val="0"/>
      <w:divBdr>
        <w:top w:val="none" w:sz="0" w:space="0" w:color="auto"/>
        <w:left w:val="none" w:sz="0" w:space="0" w:color="auto"/>
        <w:bottom w:val="none" w:sz="0" w:space="0" w:color="auto"/>
        <w:right w:val="none" w:sz="0" w:space="0" w:color="auto"/>
      </w:divBdr>
    </w:div>
    <w:div w:id="1795059966">
      <w:bodyDiv w:val="1"/>
      <w:marLeft w:val="0"/>
      <w:marRight w:val="0"/>
      <w:marTop w:val="0"/>
      <w:marBottom w:val="0"/>
      <w:divBdr>
        <w:top w:val="none" w:sz="0" w:space="0" w:color="auto"/>
        <w:left w:val="none" w:sz="0" w:space="0" w:color="auto"/>
        <w:bottom w:val="none" w:sz="0" w:space="0" w:color="auto"/>
        <w:right w:val="none" w:sz="0" w:space="0" w:color="auto"/>
      </w:divBdr>
    </w:div>
    <w:div w:id="20528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60</cp:revision>
  <dcterms:created xsi:type="dcterms:W3CDTF">2020-11-06T02:53:00Z</dcterms:created>
  <dcterms:modified xsi:type="dcterms:W3CDTF">2025-07-01T07:23:00Z</dcterms:modified>
</cp:coreProperties>
</file>